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Role: Environmental Activist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Opinions/Beliefs: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are pro right to repair.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believe people have the right to repair their products, including farmers who own tractors.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think that not allowing people to repair products makes people buy many new products instead of repairing old ones. 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think buying new products instead of repairing old ones creates waste that harms the environment.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Vocabulary: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debate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politician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político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believe that...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 creo 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In my opinion...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En mi opinión...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agree because...</w:t>
              <w:tab/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estoy de acuerdo porque.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disagree because...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no estoy de acuerdo porque...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You have a point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Tienes un punto pero...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I see what you’re saying but...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sz w:val="24"/>
                <w:szCs w:val="24"/>
                <w:rtl w:val="0"/>
              </w:rPr>
              <w:t xml:space="preserve">Veo lo que estás diciendo pero...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this space to prepare what you will say during the debate or to take notes: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After having your group debate, what do you think about the right to repair issue? Are your pro or anti right to repair? Why?</w:t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Right to Repair Debate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